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3A1F3" w14:textId="43386389" w:rsidR="003206DE" w:rsidRDefault="003206DE" w:rsidP="003206DE">
      <w:pPr>
        <w:pStyle w:val="Header"/>
        <w:jc w:val="center"/>
      </w:pPr>
      <w:r>
        <w:rPr>
          <w:caps/>
          <w:sz w:val="29"/>
          <w:szCs w:val="29"/>
          <w:lang w:val="uk-UA"/>
        </w:rPr>
        <w:t xml:space="preserve">                                                                                                                      </w:t>
      </w:r>
    </w:p>
    <w:p w14:paraId="05F8C35E" w14:textId="36AA9884" w:rsidR="003206DE" w:rsidRDefault="003206DE" w:rsidP="003206DE">
      <w:pPr>
        <w:pStyle w:val="Header"/>
        <w:jc w:val="center"/>
      </w:pPr>
      <w:r>
        <w:rPr>
          <w:caps/>
          <w:noProof/>
          <w:sz w:val="29"/>
          <w:szCs w:val="29"/>
          <w:lang w:val="uk-UA"/>
        </w:rPr>
        <w:drawing>
          <wp:inline distT="0" distB="0" distL="0" distR="0" wp14:anchorId="225F808F" wp14:editId="607D0160">
            <wp:extent cx="428625" cy="600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9" t="-555" r="-769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aps/>
          <w:sz w:val="29"/>
          <w:szCs w:val="29"/>
          <w:lang w:val="uk-UA"/>
        </w:rPr>
        <w:t xml:space="preserve">                                                                                               </w:t>
      </w:r>
    </w:p>
    <w:p w14:paraId="336BA9B1" w14:textId="77777777" w:rsidR="003206DE" w:rsidRDefault="003206DE" w:rsidP="003206DE">
      <w:pPr>
        <w:pStyle w:val="Header"/>
        <w:spacing w:line="360" w:lineRule="auto"/>
        <w:jc w:val="center"/>
      </w:pPr>
    </w:p>
    <w:p w14:paraId="4459BC26" w14:textId="77777777" w:rsidR="003206DE" w:rsidRDefault="003206DE" w:rsidP="003206DE">
      <w:pPr>
        <w:pStyle w:val="Header"/>
        <w:spacing w:line="360" w:lineRule="auto"/>
        <w:jc w:val="center"/>
      </w:pPr>
      <w:r>
        <w:rPr>
          <w:caps/>
          <w:sz w:val="29"/>
          <w:szCs w:val="29"/>
          <w:lang w:val="uk-UA"/>
        </w:rPr>
        <w:t xml:space="preserve">        </w:t>
      </w:r>
      <w:r>
        <w:rPr>
          <w:b/>
          <w:bCs/>
          <w:caps/>
          <w:sz w:val="29"/>
          <w:szCs w:val="29"/>
          <w:lang w:val="uk-UA"/>
        </w:rPr>
        <w:t xml:space="preserve"> </w:t>
      </w:r>
      <w:r>
        <w:rPr>
          <w:b/>
          <w:bCs/>
          <w:caps/>
          <w:sz w:val="32"/>
          <w:szCs w:val="32"/>
        </w:rPr>
        <w:t xml:space="preserve">МОРШИНСЬКА  МІСЬКА  РАДА  </w:t>
      </w:r>
    </w:p>
    <w:p w14:paraId="4193D745" w14:textId="77777777" w:rsidR="003206DE" w:rsidRDefault="003206DE" w:rsidP="003206DE">
      <w:pPr>
        <w:pStyle w:val="Header"/>
        <w:jc w:val="center"/>
      </w:pPr>
      <w:r>
        <w:rPr>
          <w:b/>
          <w:caps/>
          <w:sz w:val="36"/>
          <w:szCs w:val="36"/>
          <w:lang w:val="uk-UA"/>
        </w:rPr>
        <w:t xml:space="preserve">ВИКОНАВЧИЙ  КОМІТЕТ                                                     </w:t>
      </w:r>
    </w:p>
    <w:p w14:paraId="5FB64742" w14:textId="77777777" w:rsidR="003206DE" w:rsidRDefault="003206DE" w:rsidP="003206DE">
      <w:pPr>
        <w:pStyle w:val="Header"/>
        <w:jc w:val="center"/>
        <w:rPr>
          <w:b/>
          <w:caps/>
          <w:sz w:val="18"/>
          <w:szCs w:val="18"/>
          <w:lang w:val="uk-UA"/>
        </w:rPr>
      </w:pPr>
    </w:p>
    <w:p w14:paraId="6ED89CF8" w14:textId="77777777" w:rsidR="003206DE" w:rsidRDefault="003206DE" w:rsidP="003206DE">
      <w:pPr>
        <w:pStyle w:val="Header"/>
        <w:jc w:val="center"/>
      </w:pPr>
      <w:r>
        <w:rPr>
          <w:b/>
          <w:caps/>
          <w:sz w:val="36"/>
          <w:szCs w:val="36"/>
          <w:lang w:val="uk-UA"/>
        </w:rPr>
        <w:t xml:space="preserve"> рішення №   9</w:t>
      </w:r>
    </w:p>
    <w:p w14:paraId="070AC8D0" w14:textId="77777777" w:rsidR="003206DE" w:rsidRDefault="003206DE" w:rsidP="003206DE">
      <w:pPr>
        <w:pStyle w:val="Header"/>
        <w:ind w:left="1134"/>
      </w:pPr>
      <w:r>
        <w:rPr>
          <w:caps/>
          <w:sz w:val="28"/>
          <w:szCs w:val="28"/>
          <w:lang w:val="uk-UA"/>
        </w:rPr>
        <w:t xml:space="preserve">                                                                             </w:t>
      </w:r>
    </w:p>
    <w:p w14:paraId="43C68AA3" w14:textId="77777777" w:rsidR="003206DE" w:rsidRDefault="003206DE" w:rsidP="003206DE">
      <w:pPr>
        <w:pStyle w:val="Header"/>
        <w:ind w:left="284"/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« 15»</w:t>
      </w:r>
      <w:r>
        <w:rPr>
          <w:cap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січня 2025 року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м.Моршин</w:t>
      </w:r>
      <w:proofErr w:type="spellEnd"/>
    </w:p>
    <w:p w14:paraId="32C15619" w14:textId="77777777" w:rsidR="003206DE" w:rsidRDefault="003206DE" w:rsidP="003206DE">
      <w:pPr>
        <w:rPr>
          <w:rFonts w:ascii="Arial" w:hAnsi="Arial" w:cs="Arial"/>
          <w:sz w:val="16"/>
          <w:szCs w:val="16"/>
        </w:rPr>
      </w:pPr>
    </w:p>
    <w:p w14:paraId="3E10D07A" w14:textId="77777777" w:rsidR="003206DE" w:rsidRDefault="003206DE" w:rsidP="003206DE">
      <w:pPr>
        <w:ind w:left="284"/>
      </w:pPr>
      <w:r>
        <w:rPr>
          <w:b/>
          <w:szCs w:val="28"/>
        </w:rPr>
        <w:t xml:space="preserve">Про стан роботи зі зверненнями </w:t>
      </w:r>
    </w:p>
    <w:p w14:paraId="261AB888" w14:textId="77777777" w:rsidR="003206DE" w:rsidRDefault="003206DE" w:rsidP="003206DE">
      <w:pPr>
        <w:ind w:left="284"/>
      </w:pPr>
      <w:r>
        <w:rPr>
          <w:b/>
          <w:szCs w:val="28"/>
        </w:rPr>
        <w:t>громадян за підсумками 2024  року</w:t>
      </w:r>
    </w:p>
    <w:p w14:paraId="6A25F592" w14:textId="77777777" w:rsidR="003206DE" w:rsidRDefault="003206DE" w:rsidP="003206DE">
      <w:pPr>
        <w:ind w:left="284"/>
        <w:rPr>
          <w:sz w:val="16"/>
          <w:szCs w:val="16"/>
        </w:rPr>
      </w:pPr>
    </w:p>
    <w:p w14:paraId="4D4ADCC5" w14:textId="77777777" w:rsidR="003206DE" w:rsidRDefault="003206DE" w:rsidP="003206DE">
      <w:pPr>
        <w:ind w:left="284"/>
        <w:jc w:val="both"/>
      </w:pPr>
      <w:r>
        <w:rPr>
          <w:szCs w:val="28"/>
        </w:rPr>
        <w:t xml:space="preserve">        На виконання вимог ст. 40 Конституції України, заслухавши інформацію начальника центру надання адміністративних послуг-адміністратора О. </w:t>
      </w:r>
      <w:proofErr w:type="spellStart"/>
      <w:r>
        <w:rPr>
          <w:szCs w:val="28"/>
        </w:rPr>
        <w:t>Ходовицької</w:t>
      </w:r>
      <w:proofErr w:type="spellEnd"/>
      <w:r>
        <w:rPr>
          <w:szCs w:val="28"/>
        </w:rPr>
        <w:t xml:space="preserve"> «Про роботу зі зверненнями громадян Моршинської міської ради за 2024 рік», керуючись ст. 38 Закону України «Про місцеве самоврядування в Україні», виконавчий комітет Моршинської міської ради</w:t>
      </w:r>
    </w:p>
    <w:p w14:paraId="4C045FA3" w14:textId="77777777" w:rsidR="003206DE" w:rsidRDefault="003206DE" w:rsidP="003206DE">
      <w:pPr>
        <w:ind w:left="284"/>
        <w:jc w:val="both"/>
        <w:rPr>
          <w:sz w:val="16"/>
          <w:szCs w:val="16"/>
        </w:rPr>
      </w:pPr>
    </w:p>
    <w:p w14:paraId="5ED5C389" w14:textId="77777777" w:rsidR="003206DE" w:rsidRDefault="003206DE" w:rsidP="003206DE">
      <w:pPr>
        <w:ind w:left="284"/>
        <w:jc w:val="center"/>
      </w:pPr>
      <w:r>
        <w:rPr>
          <w:b/>
          <w:szCs w:val="28"/>
        </w:rPr>
        <w:t>В И Р І Ш И В:</w:t>
      </w:r>
    </w:p>
    <w:p w14:paraId="49BB3802" w14:textId="77777777" w:rsidR="003206DE" w:rsidRDefault="003206DE" w:rsidP="003206DE">
      <w:pPr>
        <w:ind w:left="284"/>
        <w:jc w:val="center"/>
        <w:rPr>
          <w:b/>
          <w:sz w:val="16"/>
          <w:szCs w:val="16"/>
        </w:rPr>
      </w:pPr>
    </w:p>
    <w:p w14:paraId="2E608B61" w14:textId="77777777" w:rsidR="003206DE" w:rsidRDefault="003206DE" w:rsidP="003206DE">
      <w:pPr>
        <w:numPr>
          <w:ilvl w:val="0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>Інформацію «Про роботу зі зверненнями громадян Моршинської міської ради за 2024 рік» прийняти до відома.</w:t>
      </w:r>
    </w:p>
    <w:p w14:paraId="48CFDC3C" w14:textId="77777777" w:rsidR="003206DE" w:rsidRDefault="003206DE" w:rsidP="003206DE">
      <w:pPr>
        <w:numPr>
          <w:ilvl w:val="0"/>
          <w:numId w:val="1"/>
        </w:numPr>
        <w:tabs>
          <w:tab w:val="left" w:pos="709"/>
        </w:tabs>
        <w:suppressAutoHyphens/>
        <w:spacing w:before="120"/>
        <w:ind w:left="284" w:firstLine="0"/>
        <w:jc w:val="both"/>
      </w:pPr>
      <w:r>
        <w:rPr>
          <w:szCs w:val="28"/>
        </w:rPr>
        <w:t>Посадовим  особам міської ради:</w:t>
      </w:r>
    </w:p>
    <w:p w14:paraId="6940B506" w14:textId="77777777" w:rsidR="003206DE" w:rsidRDefault="003206DE" w:rsidP="003206DE">
      <w:pPr>
        <w:numPr>
          <w:ilvl w:val="1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>У роботі зі зверненнями громадян пріоритетним вважати розгляд звернень інвалідів і учасників війни,  громадян, які мають високі урядові нагороди, постраждали внаслідок аварії на Чорнобильській АЕС, багатодітних сімей, самотніх матерів та малозабезпечених самотніх громадян, які потребують соціального захисту та підтримки, а також скарг, колективних і повторних звернень громадян, звернень, які надійшли через вищі органи.</w:t>
      </w:r>
    </w:p>
    <w:p w14:paraId="726D8F1A" w14:textId="77777777" w:rsidR="003206DE" w:rsidRDefault="003206DE" w:rsidP="003206DE">
      <w:pPr>
        <w:numPr>
          <w:ilvl w:val="1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>Скарги, колективні та повторні звернення розглядати з виходом на місце, про що складати акти перевірки з підписом заявників.</w:t>
      </w:r>
    </w:p>
    <w:p w14:paraId="7017D62C" w14:textId="77777777" w:rsidR="003206DE" w:rsidRDefault="003206DE" w:rsidP="003206DE">
      <w:pPr>
        <w:numPr>
          <w:ilvl w:val="1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>Проводити регулярний особистий прийом громадян, неухильно дотримуватися затвердженого графіку особистого прийому.</w:t>
      </w:r>
    </w:p>
    <w:p w14:paraId="5D804E65" w14:textId="77777777" w:rsidR="003206DE" w:rsidRDefault="003206DE" w:rsidP="003206DE">
      <w:pPr>
        <w:numPr>
          <w:ilvl w:val="1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>Посилити персональну відповідальність за належну організацію роботи із зверненнями громадян та результати вирішення порушених у них питань.</w:t>
      </w:r>
    </w:p>
    <w:p w14:paraId="1E4C4EA3" w14:textId="77777777" w:rsidR="003206DE" w:rsidRDefault="003206DE" w:rsidP="003206DE">
      <w:pPr>
        <w:numPr>
          <w:ilvl w:val="1"/>
          <w:numId w:val="1"/>
        </w:numPr>
        <w:tabs>
          <w:tab w:val="left" w:pos="709"/>
        </w:tabs>
        <w:suppressAutoHyphens/>
        <w:ind w:left="284" w:firstLine="0"/>
        <w:jc w:val="both"/>
      </w:pPr>
      <w:r>
        <w:rPr>
          <w:szCs w:val="28"/>
        </w:rPr>
        <w:t xml:space="preserve">Дотримуватися Законів України «Про захист персональних даних», «Про доступ до публічної інформації», Інструкції з діловодства за зверненнями громадян в Моршинській міській раді. </w:t>
      </w:r>
    </w:p>
    <w:p w14:paraId="707183CD" w14:textId="77777777" w:rsidR="003206DE" w:rsidRDefault="003206DE" w:rsidP="003206DE">
      <w:pPr>
        <w:numPr>
          <w:ilvl w:val="0"/>
          <w:numId w:val="1"/>
        </w:numPr>
        <w:suppressAutoHyphens/>
        <w:spacing w:before="120"/>
        <w:ind w:left="284" w:firstLine="0"/>
        <w:jc w:val="both"/>
      </w:pPr>
      <w:r>
        <w:rPr>
          <w:szCs w:val="28"/>
        </w:rPr>
        <w:t xml:space="preserve">Центру надання адміністративних послуг Моршинської міської ради посилити контроль за розглядом звернень громадян та раз у рік звітувати про роботу зі зверненнями громадян. </w:t>
      </w:r>
    </w:p>
    <w:p w14:paraId="4DDA3F57" w14:textId="77777777" w:rsidR="003206DE" w:rsidRDefault="003206DE" w:rsidP="003206DE">
      <w:pPr>
        <w:numPr>
          <w:ilvl w:val="0"/>
          <w:numId w:val="1"/>
        </w:numPr>
        <w:suppressAutoHyphens/>
        <w:spacing w:before="120"/>
        <w:ind w:left="284" w:firstLine="0"/>
        <w:jc w:val="both"/>
      </w:pPr>
      <w:r>
        <w:rPr>
          <w:szCs w:val="28"/>
        </w:rPr>
        <w:t xml:space="preserve">Контроль за виконанням рішення покласти на керуючого справами виконкому  О. </w:t>
      </w:r>
      <w:proofErr w:type="spellStart"/>
      <w:r>
        <w:rPr>
          <w:szCs w:val="28"/>
        </w:rPr>
        <w:t>Манастирську</w:t>
      </w:r>
      <w:proofErr w:type="spellEnd"/>
    </w:p>
    <w:p w14:paraId="48BCCDCA" w14:textId="2D77493E" w:rsidR="003206DE" w:rsidRDefault="003206DE" w:rsidP="003206DE">
      <w:r>
        <w:rPr>
          <w:szCs w:val="28"/>
        </w:rPr>
        <w:t xml:space="preserve">                                                                                                                                    </w:t>
      </w:r>
    </w:p>
    <w:p w14:paraId="0E2F886A" w14:textId="77777777" w:rsidR="003206DE" w:rsidRDefault="003206DE" w:rsidP="003206DE">
      <w:r>
        <w:rPr>
          <w:szCs w:val="28"/>
        </w:rPr>
        <w:lastRenderedPageBreak/>
        <w:t xml:space="preserve">           </w:t>
      </w:r>
      <w:r>
        <w:rPr>
          <w:b/>
          <w:szCs w:val="28"/>
        </w:rPr>
        <w:t xml:space="preserve">Міський голова                                                  Руслан  ІЛЬНИЦЬКИЙ                                  </w:t>
      </w:r>
    </w:p>
    <w:p w14:paraId="06547785" w14:textId="77777777" w:rsidR="003206DE" w:rsidRDefault="003206DE" w:rsidP="00EB24E3">
      <w:pPr>
        <w:jc w:val="center"/>
        <w:rPr>
          <w:b/>
        </w:rPr>
      </w:pPr>
    </w:p>
    <w:p w14:paraId="0EA8AC20" w14:textId="199F10CE" w:rsidR="00EB24E3" w:rsidRDefault="00EB24E3" w:rsidP="00EB24E3">
      <w:pPr>
        <w:jc w:val="center"/>
        <w:rPr>
          <w:b/>
        </w:rPr>
      </w:pPr>
      <w:r>
        <w:rPr>
          <w:b/>
        </w:rPr>
        <w:t>Д О В І Д К А</w:t>
      </w:r>
    </w:p>
    <w:p w14:paraId="77E00B82" w14:textId="77777777" w:rsidR="00EB24E3" w:rsidRDefault="00EB24E3" w:rsidP="00EB24E3">
      <w:pPr>
        <w:jc w:val="center"/>
        <w:rPr>
          <w:b/>
        </w:rPr>
      </w:pPr>
      <w:r>
        <w:rPr>
          <w:b/>
        </w:rPr>
        <w:t xml:space="preserve">про роботу зі зверненнями громадян </w:t>
      </w:r>
    </w:p>
    <w:p w14:paraId="692669CB" w14:textId="77777777" w:rsidR="00EB24E3" w:rsidRDefault="00EB24E3" w:rsidP="00EB24E3">
      <w:pPr>
        <w:jc w:val="center"/>
      </w:pPr>
      <w:r>
        <w:rPr>
          <w:b/>
        </w:rPr>
        <w:t xml:space="preserve"> Моршинської міської ради</w:t>
      </w:r>
    </w:p>
    <w:p w14:paraId="01B57C6C" w14:textId="77777777" w:rsidR="00EB24E3" w:rsidRDefault="00EB24E3" w:rsidP="00EB24E3">
      <w:pPr>
        <w:jc w:val="center"/>
      </w:pPr>
      <w:r>
        <w:rPr>
          <w:b/>
        </w:rPr>
        <w:t>за  202</w:t>
      </w:r>
      <w:r w:rsidR="00C1164C">
        <w:rPr>
          <w:b/>
        </w:rPr>
        <w:t>4</w:t>
      </w:r>
      <w:r>
        <w:rPr>
          <w:b/>
        </w:rPr>
        <w:t xml:space="preserve">  рік</w:t>
      </w:r>
    </w:p>
    <w:p w14:paraId="2A72EF63" w14:textId="77777777" w:rsidR="00EB24E3" w:rsidRDefault="00EB24E3" w:rsidP="00EB24E3">
      <w:pPr>
        <w:jc w:val="center"/>
        <w:rPr>
          <w:b/>
        </w:rPr>
      </w:pPr>
    </w:p>
    <w:p w14:paraId="16566CA1" w14:textId="77777777" w:rsidR="00EB24E3" w:rsidRDefault="00EB24E3" w:rsidP="00EB24E3">
      <w:pPr>
        <w:ind w:firstLine="708"/>
        <w:jc w:val="both"/>
      </w:pPr>
      <w:r>
        <w:t>За період з 1 січня по 31 грудня 202</w:t>
      </w:r>
      <w:r w:rsidR="00C1164C">
        <w:t>4</w:t>
      </w:r>
      <w:r>
        <w:t xml:space="preserve"> року надійшло </w:t>
      </w:r>
      <w:r w:rsidR="00C1164C">
        <w:t>283</w:t>
      </w:r>
      <w:r>
        <w:t xml:space="preserve"> звернень громадян,  що на </w:t>
      </w:r>
      <w:r w:rsidR="00C1164C">
        <w:t>101</w:t>
      </w:r>
      <w:r w:rsidRPr="002E448E">
        <w:t xml:space="preserve"> менше, ніж за аналогічний період 202</w:t>
      </w:r>
      <w:r w:rsidR="00C1164C">
        <w:t>3</w:t>
      </w:r>
      <w:r w:rsidRPr="002E448E">
        <w:t xml:space="preserve"> року</w:t>
      </w:r>
      <w:r>
        <w:t xml:space="preserve">. З них: </w:t>
      </w:r>
      <w:r w:rsidR="00C1164C">
        <w:t>257</w:t>
      </w:r>
      <w:r>
        <w:t xml:space="preserve"> – первинних, </w:t>
      </w:r>
      <w:r w:rsidR="00C1164C">
        <w:t>8</w:t>
      </w:r>
      <w:r>
        <w:t xml:space="preserve"> – повторних, </w:t>
      </w:r>
      <w:r w:rsidR="00C1164C">
        <w:t>18</w:t>
      </w:r>
      <w:r>
        <w:t xml:space="preserve"> - колективних. Результати аналізу звернень громадян  за характером свідчать про те, що найбільше звернень надійшло з наступних питань:</w:t>
      </w:r>
    </w:p>
    <w:p w14:paraId="0C9227CB" w14:textId="77777777" w:rsidR="00EB24E3" w:rsidRPr="003700BC" w:rsidRDefault="00EB24E3" w:rsidP="00EB24E3">
      <w:pPr>
        <w:jc w:val="both"/>
        <w:rPr>
          <w:b/>
        </w:rPr>
      </w:pPr>
      <w:r>
        <w:rPr>
          <w:b/>
        </w:rPr>
        <w:t>Соціального захисту</w:t>
      </w:r>
      <w:r>
        <w:t xml:space="preserve"> – </w:t>
      </w:r>
      <w:r w:rsidR="00C1164C">
        <w:t>51</w:t>
      </w:r>
      <w:r>
        <w:t xml:space="preserve">, що </w:t>
      </w:r>
      <w:r w:rsidRPr="00CE53E0">
        <w:t xml:space="preserve">становить  </w:t>
      </w:r>
      <w:r w:rsidR="00C1164C">
        <w:t>18</w:t>
      </w:r>
      <w:r w:rsidRPr="00CE53E0">
        <w:t xml:space="preserve"> %</w:t>
      </w:r>
      <w:r>
        <w:t xml:space="preserve"> усіх звернень, що на </w:t>
      </w:r>
      <w:r w:rsidR="00C1164C">
        <w:t>45</w:t>
      </w:r>
      <w:r>
        <w:t xml:space="preserve"> заяв  менше, ніж за аналогічний період 202</w:t>
      </w:r>
      <w:r w:rsidR="00C1164C">
        <w:t>3</w:t>
      </w:r>
      <w:r>
        <w:t xml:space="preserve"> року. За 202</w:t>
      </w:r>
      <w:r w:rsidR="00C1164C">
        <w:t>4</w:t>
      </w:r>
      <w:r>
        <w:t xml:space="preserve"> рік громадяни більше зверталися для отримання допомоги ВПО, компенсації </w:t>
      </w:r>
      <w:r w:rsidRPr="003700BC">
        <w:t>витрат за </w:t>
      </w:r>
      <w:r>
        <w:t>тимчасове розміщення ВПО та інших матеріальних допомог.</w:t>
      </w:r>
    </w:p>
    <w:p w14:paraId="5E0D5F46" w14:textId="77777777" w:rsidR="00EB24E3" w:rsidRDefault="00EB24E3" w:rsidP="00EB24E3">
      <w:pPr>
        <w:jc w:val="both"/>
      </w:pPr>
      <w:r>
        <w:rPr>
          <w:b/>
        </w:rPr>
        <w:t xml:space="preserve">Земельних </w:t>
      </w:r>
      <w:r>
        <w:t xml:space="preserve">– 29, що становить </w:t>
      </w:r>
      <w:r w:rsidR="00C1164C">
        <w:t>10</w:t>
      </w:r>
      <w:r>
        <w:t xml:space="preserve"> % усіх звернень, що </w:t>
      </w:r>
      <w:r w:rsidR="00C1164C">
        <w:t>по кількості аналогічно сумі</w:t>
      </w:r>
      <w:r>
        <w:t>, ніж за аналогічний період 202</w:t>
      </w:r>
      <w:r w:rsidR="00C1164C">
        <w:t>3</w:t>
      </w:r>
      <w:r>
        <w:t xml:space="preserve"> року. Громадяни продовжують звертатися за наданням дозволів на розроблення детальних планів території, комісійних обстежень меж земельних ділянок тощо.</w:t>
      </w:r>
    </w:p>
    <w:p w14:paraId="420CFA0A" w14:textId="77777777" w:rsidR="00EB24E3" w:rsidRDefault="00EB24E3" w:rsidP="00EB24E3">
      <w:pPr>
        <w:jc w:val="both"/>
      </w:pPr>
      <w:r>
        <w:rPr>
          <w:b/>
        </w:rPr>
        <w:t xml:space="preserve">Комунального господарства – </w:t>
      </w:r>
      <w:r w:rsidR="00E91E89">
        <w:t>7</w:t>
      </w:r>
      <w:r>
        <w:t xml:space="preserve">, що становить 2,5 % усіх звернень, що на </w:t>
      </w:r>
      <w:r w:rsidR="00B90349">
        <w:t>41</w:t>
      </w:r>
      <w:r>
        <w:t xml:space="preserve"> </w:t>
      </w:r>
      <w:r w:rsidR="00B90349">
        <w:t>менше</w:t>
      </w:r>
      <w:r>
        <w:t>, ніж за аналогічний період 202</w:t>
      </w:r>
      <w:r w:rsidR="00B90349">
        <w:t>2</w:t>
      </w:r>
      <w:r>
        <w:t xml:space="preserve"> року. Найбільш поширеними є заяви та скарги на неналежний ремонт доріг, будинків, сходових кліток, каналізування; відновлення гарячого водопостачання тощо.</w:t>
      </w:r>
    </w:p>
    <w:p w14:paraId="06E123E8" w14:textId="77777777" w:rsidR="00EB24E3" w:rsidRDefault="00EB24E3" w:rsidP="00EB24E3">
      <w:pPr>
        <w:jc w:val="both"/>
      </w:pPr>
      <w:r w:rsidRPr="007D7B30">
        <w:rPr>
          <w:b/>
        </w:rPr>
        <w:t>Сімейної та гендерної політики, захисту прав дітей</w:t>
      </w:r>
      <w:r>
        <w:t xml:space="preserve"> – 3</w:t>
      </w:r>
      <w:r w:rsidR="00A06DFD">
        <w:t>7</w:t>
      </w:r>
      <w:r>
        <w:t xml:space="preserve">, що становить </w:t>
      </w:r>
      <w:r w:rsidR="00A06DFD">
        <w:t>13</w:t>
      </w:r>
      <w:r>
        <w:t xml:space="preserve"> % усіх звернень.</w:t>
      </w:r>
    </w:p>
    <w:p w14:paraId="062B3FB2" w14:textId="77777777" w:rsidR="00EB24E3" w:rsidRDefault="00EB24E3" w:rsidP="00EB24E3">
      <w:pPr>
        <w:jc w:val="both"/>
      </w:pPr>
      <w:r>
        <w:rPr>
          <w:b/>
        </w:rPr>
        <w:t>Житлової політики</w:t>
      </w:r>
      <w:r>
        <w:t xml:space="preserve"> – </w:t>
      </w:r>
      <w:r w:rsidR="00A06DFD">
        <w:t>28</w:t>
      </w:r>
      <w:r>
        <w:t xml:space="preserve">, що становить  </w:t>
      </w:r>
      <w:r w:rsidR="00A06DFD">
        <w:t>9,9</w:t>
      </w:r>
      <w:r>
        <w:t xml:space="preserve"> % усіх звернень.</w:t>
      </w:r>
    </w:p>
    <w:p w14:paraId="44373CEC" w14:textId="77777777" w:rsidR="00EB24E3" w:rsidRDefault="00EB24E3" w:rsidP="00EB24E3">
      <w:pPr>
        <w:jc w:val="both"/>
      </w:pPr>
      <w:r w:rsidRPr="009232A6">
        <w:rPr>
          <w:b/>
        </w:rPr>
        <w:t xml:space="preserve"> </w:t>
      </w:r>
      <w:r>
        <w:rPr>
          <w:b/>
          <w:bCs/>
        </w:rPr>
        <w:t>Інші</w:t>
      </w:r>
      <w:r>
        <w:t xml:space="preserve"> — </w:t>
      </w:r>
      <w:r w:rsidR="00A06DFD">
        <w:t>109</w:t>
      </w:r>
      <w:r>
        <w:t xml:space="preserve">, що становить </w:t>
      </w:r>
      <w:r w:rsidR="00A06DFD">
        <w:t>38,</w:t>
      </w:r>
      <w:r>
        <w:t>5 % усіх звернень.</w:t>
      </w:r>
    </w:p>
    <w:p w14:paraId="1628F87D" w14:textId="77777777" w:rsidR="00EB24E3" w:rsidRDefault="00EB24E3" w:rsidP="00EB24E3">
      <w:pPr>
        <w:ind w:firstLine="708"/>
        <w:jc w:val="both"/>
      </w:pPr>
      <w:r>
        <w:t xml:space="preserve">Проаналізувавши терміни розгляду звернень громадян можна відзначити, що всі звернення розглянуті вчасно та  прийняті відповідні рішення.  Загалом з </w:t>
      </w:r>
      <w:r w:rsidR="00467785">
        <w:t>283</w:t>
      </w:r>
      <w:r>
        <w:t xml:space="preserve"> звернень, що надійшли протягом  202</w:t>
      </w:r>
      <w:r w:rsidR="00467785">
        <w:t>4</w:t>
      </w:r>
      <w:r>
        <w:t xml:space="preserve"> року до Моршинської міської ради: </w:t>
      </w:r>
      <w:r w:rsidR="00467785">
        <w:t>198</w:t>
      </w:r>
      <w:r>
        <w:t xml:space="preserve"> звернення – вирішено позитивно, на </w:t>
      </w:r>
      <w:r w:rsidR="00467785">
        <w:t>52</w:t>
      </w:r>
      <w:r>
        <w:t xml:space="preserve"> – надано роз’яснення, </w:t>
      </w:r>
      <w:r w:rsidR="00467785">
        <w:t>4</w:t>
      </w:r>
      <w:r>
        <w:t xml:space="preserve"> – відмовлено тощо.</w:t>
      </w:r>
    </w:p>
    <w:p w14:paraId="3CD18337" w14:textId="77777777" w:rsidR="00EB24E3" w:rsidRDefault="00EB24E3" w:rsidP="00EB24E3">
      <w:pPr>
        <w:ind w:firstLine="708"/>
        <w:jc w:val="both"/>
      </w:pPr>
      <w:r>
        <w:t>За 202</w:t>
      </w:r>
      <w:r w:rsidR="00467785">
        <w:t>4</w:t>
      </w:r>
      <w:r>
        <w:t xml:space="preserve"> рік до Моршинської міської ради з «Гарячої лінії області» та «Урядової гарячої лінії» Львівської обласної державної адміністрації надійшло </w:t>
      </w:r>
      <w:r w:rsidR="008B48F5">
        <w:t>49</w:t>
      </w:r>
      <w:r>
        <w:t xml:space="preserve"> звернень. Звернення розглянуті вчасно, та надані відповіді заявникам. </w:t>
      </w:r>
    </w:p>
    <w:p w14:paraId="4CA3AA79" w14:textId="77777777" w:rsidR="00EB24E3" w:rsidRDefault="00EB24E3" w:rsidP="00EB24E3">
      <w:pPr>
        <w:ind w:firstLine="708"/>
        <w:jc w:val="both"/>
      </w:pPr>
    </w:p>
    <w:p w14:paraId="3DCFC776" w14:textId="77777777" w:rsidR="00EB24E3" w:rsidRDefault="00EB24E3" w:rsidP="00EB24E3">
      <w:pPr>
        <w:ind w:firstLine="708"/>
        <w:jc w:val="both"/>
      </w:pPr>
    </w:p>
    <w:p w14:paraId="6723DC19" w14:textId="77777777" w:rsidR="00EB24E3" w:rsidRDefault="00EB24E3" w:rsidP="00EB24E3">
      <w:pPr>
        <w:ind w:firstLine="708"/>
        <w:jc w:val="both"/>
      </w:pPr>
    </w:p>
    <w:p w14:paraId="65BF89F0" w14:textId="77777777" w:rsidR="00EB24E3" w:rsidRDefault="00EB24E3" w:rsidP="00EB24E3">
      <w:pPr>
        <w:ind w:firstLine="708"/>
        <w:jc w:val="both"/>
      </w:pPr>
    </w:p>
    <w:p w14:paraId="001BBABF" w14:textId="77777777" w:rsidR="00EB24E3" w:rsidRDefault="00EB24E3" w:rsidP="00EB24E3">
      <w:r>
        <w:t xml:space="preserve">   Начальник ЦНАП-адміністратор                             Ольга ХОДОВИЦЬКА</w:t>
      </w:r>
    </w:p>
    <w:p w14:paraId="42D7DCD8" w14:textId="77777777" w:rsidR="00EB24E3" w:rsidRDefault="00EB24E3"/>
    <w:sectPr w:rsidR="00EB24E3" w:rsidSect="003206DE">
      <w:pgSz w:w="11906" w:h="16838"/>
      <w:pgMar w:top="568" w:right="850" w:bottom="850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Symbol"/>
        <w:szCs w:val="28"/>
      </w:rPr>
    </w:lvl>
    <w:lvl w:ilvl="2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E3"/>
    <w:rsid w:val="003206DE"/>
    <w:rsid w:val="00467785"/>
    <w:rsid w:val="008B48F5"/>
    <w:rsid w:val="00A06DFD"/>
    <w:rsid w:val="00B90349"/>
    <w:rsid w:val="00C1164C"/>
    <w:rsid w:val="00E91E89"/>
    <w:rsid w:val="00EB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337B"/>
  <w15:chartTrackingRefBased/>
  <w15:docId w15:val="{55A6E2BB-9E0A-4036-BC02-5224C576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4E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06DE"/>
    <w:pPr>
      <w:tabs>
        <w:tab w:val="center" w:pos="4153"/>
        <w:tab w:val="right" w:pos="8306"/>
      </w:tabs>
      <w:suppressAutoHyphens/>
      <w:autoSpaceDE w:val="0"/>
    </w:pPr>
    <w:rPr>
      <w:color w:val="auto"/>
      <w:sz w:val="20"/>
      <w:szCs w:val="20"/>
      <w:lang w:val="ru-RU" w:eastAsia="zh-CN"/>
    </w:rPr>
  </w:style>
  <w:style w:type="character" w:customStyle="1" w:styleId="HeaderChar">
    <w:name w:val="Header Char"/>
    <w:basedOn w:val="DefaultParagraphFont"/>
    <w:link w:val="Header"/>
    <w:rsid w:val="003206DE"/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2933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sofiren555@gmail.com</cp:lastModifiedBy>
  <cp:revision>7</cp:revision>
  <dcterms:created xsi:type="dcterms:W3CDTF">2024-12-31T12:46:00Z</dcterms:created>
  <dcterms:modified xsi:type="dcterms:W3CDTF">2025-06-13T13:31:00Z</dcterms:modified>
</cp:coreProperties>
</file>